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2138" w14:textId="77777777" w:rsidR="002B4BDA" w:rsidRDefault="002B4BDA">
      <w:pPr>
        <w:suppressAutoHyphens/>
        <w:rPr>
          <w:rFonts w:ascii="Arial" w:hAnsi="Arial"/>
          <w:b/>
          <w:sz w:val="28"/>
          <w:u w:val="single"/>
        </w:rPr>
      </w:pPr>
      <w:r>
        <w:rPr>
          <w:rStyle w:val="Standard"/>
          <w:rFonts w:ascii="Arial" w:hAnsi="Arial"/>
          <w:b/>
          <w:sz w:val="28"/>
          <w:u w:val="single"/>
        </w:rPr>
        <w:t xml:space="preserve">Bac Gastronorm perforé </w:t>
      </w:r>
    </w:p>
    <w:p w14:paraId="09183F28" w14:textId="77777777" w:rsidR="002B4BDA" w:rsidRDefault="002B4BDA">
      <w:pPr>
        <w:suppressAutoHyphens/>
        <w:rPr>
          <w:rFonts w:ascii="Arial" w:hAnsi="Arial"/>
          <w:b/>
          <w:sz w:val="28"/>
          <w:u w:val="single"/>
        </w:rPr>
      </w:pPr>
      <w:r>
        <w:rPr>
          <w:rStyle w:val="Standard"/>
          <w:rFonts w:ascii="Arial" w:hAnsi="Arial"/>
          <w:b/>
          <w:sz w:val="28"/>
          <w:u w:val="single"/>
        </w:rPr>
        <w:t>GN-P 2/1-20</w:t>
      </w:r>
    </w:p>
    <w:p w14:paraId="023BA4E5" w14:textId="77777777" w:rsidR="002B4BDA" w:rsidRDefault="002B4BDA">
      <w:pPr>
        <w:suppressAutoHyphens/>
        <w:rPr>
          <w:rFonts w:ascii="Arial" w:hAnsi="Arial"/>
        </w:rPr>
      </w:pPr>
    </w:p>
    <w:p w14:paraId="4531A3FB" w14:textId="77777777" w:rsidR="002B4BDA" w:rsidRDefault="002B4BDA">
      <w:pPr>
        <w:suppressAutoHyphens/>
        <w:rPr>
          <w:rFonts w:ascii="Arial" w:hAnsi="Arial"/>
        </w:rPr>
      </w:pPr>
      <w:r>
        <w:rPr>
          <w:rStyle w:val="Standard"/>
          <w:rFonts w:ascii="Arial" w:hAnsi="Arial"/>
          <w:b/>
        </w:rPr>
        <w:t>Dimensions</w:t>
      </w:r>
    </w:p>
    <w:p w14:paraId="1C6CB645" w14:textId="77777777" w:rsidR="002B4BDA" w:rsidRDefault="002B4BDA">
      <w:pPr>
        <w:suppressAutoHyphens/>
        <w:rPr>
          <w:rFonts w:ascii="Arial" w:hAnsi="Arial"/>
        </w:rPr>
      </w:pPr>
    </w:p>
    <w:p w14:paraId="119936A2" w14:textId="77777777" w:rsidR="002B4BDA" w:rsidRDefault="002B4BDA">
      <w:pPr>
        <w:suppressAutoHyphens/>
        <w:rPr>
          <w:rFonts w:ascii="Arial" w:hAnsi="Arial"/>
        </w:rPr>
      </w:pPr>
      <w:r>
        <w:rPr>
          <w:rStyle w:val="Standard"/>
          <w:rFonts w:ascii="Arial" w:hAnsi="Arial"/>
        </w:rPr>
        <w:t>Dimensions extérieures:</w:t>
      </w:r>
    </w:p>
    <w:p w14:paraId="3DD195DB" w14:textId="77777777" w:rsidR="002B4BDA" w:rsidRDefault="002B4BDA">
      <w:pPr>
        <w:tabs>
          <w:tab w:val="left" w:pos="1701"/>
        </w:tabs>
        <w:suppressAutoHyphens/>
        <w:rPr>
          <w:rFonts w:ascii="Arial" w:hAnsi="Arial"/>
        </w:rPr>
      </w:pPr>
      <w:r>
        <w:rPr>
          <w:rStyle w:val="Standard"/>
          <w:rFonts w:ascii="Arial" w:hAnsi="Arial"/>
        </w:rPr>
        <w:t xml:space="preserve">Longueur </w:t>
      </w:r>
      <w:r>
        <w:rPr>
          <w:rStyle w:val="Standard"/>
          <w:rFonts w:ascii="Arial" w:hAnsi="Arial"/>
        </w:rPr>
        <w:tab/>
      </w:r>
      <w:r>
        <w:rPr>
          <w:rStyle w:val="Standard"/>
          <w:rFonts w:ascii="Arial" w:hAnsi="Arial"/>
        </w:rPr>
        <w:tab/>
        <w:t>650 mm</w:t>
      </w:r>
    </w:p>
    <w:p w14:paraId="2C6EC475" w14:textId="77777777" w:rsidR="002B4BDA" w:rsidRDefault="002B4BDA">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30738470" w14:textId="77777777" w:rsidR="002B4BDA" w:rsidRDefault="002B4BDA">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5AAC7E8C" w14:textId="77777777" w:rsidR="002B4BDA" w:rsidRDefault="002B4BDA">
      <w:pPr>
        <w:suppressAutoHyphens/>
        <w:rPr>
          <w:rFonts w:ascii="Arial" w:hAnsi="Arial"/>
        </w:rPr>
      </w:pPr>
    </w:p>
    <w:p w14:paraId="267FB41A" w14:textId="77777777" w:rsidR="002B4BDA" w:rsidRDefault="002B4BDA">
      <w:pPr>
        <w:suppressAutoHyphens/>
        <w:rPr>
          <w:rFonts w:ascii="Arial" w:hAnsi="Arial"/>
        </w:rPr>
      </w:pPr>
      <w:r>
        <w:rPr>
          <w:rStyle w:val="Standard"/>
          <w:rFonts w:ascii="Arial" w:hAnsi="Arial"/>
        </w:rPr>
        <w:t>Dimensions intérieures:</w:t>
      </w:r>
    </w:p>
    <w:p w14:paraId="0C2D0ADC" w14:textId="77777777" w:rsidR="002B4BDA" w:rsidRDefault="002B4BDA">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625 mm</w:t>
      </w:r>
    </w:p>
    <w:p w14:paraId="3706635A" w14:textId="77777777" w:rsidR="002B4BDA" w:rsidRDefault="002B4BDA">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0B1E4DD6" w14:textId="77777777" w:rsidR="002B4BDA" w:rsidRDefault="002B4BDA">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249CD1ED" w14:textId="77777777" w:rsidR="002B4BDA" w:rsidRDefault="002B4BDA">
      <w:pPr>
        <w:suppressAutoHyphens/>
        <w:rPr>
          <w:rFonts w:ascii="Arial" w:hAnsi="Arial"/>
        </w:rPr>
      </w:pPr>
      <w:r>
        <w:rPr>
          <w:rStyle w:val="Standard"/>
          <w:rFonts w:ascii="Arial" w:hAnsi="Arial"/>
        </w:rPr>
        <w:t>Rayon de coin:</w:t>
      </w:r>
      <w:r>
        <w:rPr>
          <w:rStyle w:val="Standard"/>
          <w:rFonts w:ascii="Arial" w:hAnsi="Arial"/>
        </w:rPr>
        <w:tab/>
        <w:t>R 80 mm</w:t>
      </w:r>
    </w:p>
    <w:p w14:paraId="2F2E3A01" w14:textId="77777777" w:rsidR="002B4BDA" w:rsidRDefault="002B4BDA">
      <w:pPr>
        <w:suppressAutoHyphens/>
        <w:rPr>
          <w:rFonts w:ascii="Arial" w:hAnsi="Arial"/>
        </w:rPr>
      </w:pPr>
    </w:p>
    <w:p w14:paraId="1B740817" w14:textId="77777777" w:rsidR="002B4BDA" w:rsidRDefault="002B4BDA">
      <w:pPr>
        <w:suppressAutoHyphens/>
        <w:rPr>
          <w:rFonts w:ascii="Arial" w:hAnsi="Arial"/>
        </w:rPr>
      </w:pPr>
    </w:p>
    <w:p w14:paraId="4D671805" w14:textId="77777777" w:rsidR="002B4BDA" w:rsidRDefault="002B4BDA">
      <w:pPr>
        <w:pStyle w:val="berschrift1"/>
      </w:pPr>
      <w:r>
        <w:rPr>
          <w:rStyle w:val="berschrift1"/>
        </w:rPr>
        <w:t>Version</w:t>
      </w:r>
    </w:p>
    <w:p w14:paraId="07116477" w14:textId="77777777" w:rsidR="002B4BDA" w:rsidRDefault="002B4BDA">
      <w:pPr>
        <w:suppressAutoHyphens/>
        <w:rPr>
          <w:rFonts w:ascii="Arial" w:hAnsi="Arial"/>
        </w:rPr>
      </w:pPr>
    </w:p>
    <w:p w14:paraId="4147EB3E" w14:textId="77777777" w:rsidR="002B4BDA" w:rsidRDefault="002B4BDA">
      <w:pPr>
        <w:suppressAutoHyphens/>
        <w:ind w:right="596"/>
        <w:rPr>
          <w:rFonts w:ascii="Arial" w:hAnsi="Arial"/>
        </w:rPr>
      </w:pPr>
      <w:r>
        <w:rPr>
          <w:rStyle w:val="Standard"/>
          <w:rFonts w:ascii="Arial" w:hAnsi="Arial"/>
        </w:rPr>
        <w:t>Le bac Gastronorm avec fond perforé est fabriqué en acier inoxydable AISI 304 et embouti sans soudure. Le fond est doté d'une perforation (diamètre des trous 4 mm, écartement des trous 4 mm). Cette perforation conçue spécialement pour le comportement de cuisson assure des temps de cuisson réduit</w:t>
      </w:r>
      <w:r w:rsidR="00140080">
        <w:rPr>
          <w:rStyle w:val="Standard"/>
          <w:rFonts w:ascii="Arial" w:hAnsi="Arial"/>
        </w:rPr>
        <w:t>s</w:t>
      </w:r>
      <w:r>
        <w:rPr>
          <w:rStyle w:val="Standard"/>
          <w:rFonts w:ascii="Arial" w:hAnsi="Arial"/>
        </w:rPr>
        <w:t xml:space="preserve"> et un refroidissement plus rapide des repas après la cuisson.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GN-P sont pourvus d'estampages en forme de goutte. Ces coins fonctionnels assurent une stabilité particulière et une grande résistance aux chocs dans la zone des coins et permettent de verser les repas de manière mesurée. </w:t>
      </w:r>
    </w:p>
    <w:p w14:paraId="7F188455" w14:textId="77777777" w:rsidR="002B4BDA" w:rsidRDefault="002B4BDA">
      <w:pPr>
        <w:suppressAutoHyphens/>
        <w:rPr>
          <w:rFonts w:ascii="Arial" w:hAnsi="Arial"/>
        </w:rPr>
      </w:pPr>
    </w:p>
    <w:p w14:paraId="6A99B6C6" w14:textId="77777777" w:rsidR="002B4BDA" w:rsidRDefault="002B4BDA">
      <w:pPr>
        <w:suppressAutoHyphens/>
        <w:rPr>
          <w:rFonts w:ascii="Arial" w:hAnsi="Arial"/>
        </w:rPr>
      </w:pPr>
    </w:p>
    <w:p w14:paraId="2605BA8C" w14:textId="77777777" w:rsidR="002B4BDA" w:rsidRDefault="00140080">
      <w:pPr>
        <w:suppressAutoHyphens/>
        <w:rPr>
          <w:rFonts w:ascii="Arial" w:hAnsi="Arial"/>
          <w:b/>
        </w:rPr>
      </w:pPr>
      <w:r>
        <w:rPr>
          <w:rStyle w:val="Standard"/>
          <w:rFonts w:ascii="Arial" w:hAnsi="Arial"/>
          <w:b/>
        </w:rPr>
        <w:br w:type="column"/>
      </w:r>
      <w:r w:rsidR="002B4BDA">
        <w:rPr>
          <w:rStyle w:val="Standard"/>
          <w:rFonts w:ascii="Arial" w:hAnsi="Arial"/>
          <w:b/>
        </w:rPr>
        <w:lastRenderedPageBreak/>
        <w:t>Caractéristiques techniques</w:t>
      </w:r>
    </w:p>
    <w:p w14:paraId="44D266EC" w14:textId="77777777" w:rsidR="002B4BDA" w:rsidRDefault="002B4BDA">
      <w:pPr>
        <w:suppressAutoHyphens/>
        <w:rPr>
          <w:rFonts w:ascii="Arial" w:hAnsi="Arial"/>
        </w:rPr>
      </w:pPr>
    </w:p>
    <w:p w14:paraId="56C3524F" w14:textId="77777777" w:rsidR="002B4BDA" w:rsidRDefault="002B4BDA">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E399417" w14:textId="77777777" w:rsidR="002B4BDA" w:rsidRDefault="002B4BDA">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21F305B5" w14:textId="77777777" w:rsidR="002B4BDA" w:rsidRDefault="002B4BDA">
      <w:pPr>
        <w:tabs>
          <w:tab w:val="left" w:pos="2268"/>
        </w:tabs>
        <w:suppressAutoHyphens/>
        <w:rPr>
          <w:rFonts w:ascii="Arial" w:hAnsi="Arial"/>
        </w:rPr>
      </w:pPr>
      <w:r>
        <w:rPr>
          <w:rStyle w:val="Standard"/>
          <w:rFonts w:ascii="Arial" w:hAnsi="Arial"/>
        </w:rPr>
        <w:t>Contenu:</w:t>
      </w:r>
      <w:r>
        <w:rPr>
          <w:rStyle w:val="Standard"/>
          <w:rFonts w:ascii="Arial" w:hAnsi="Arial"/>
        </w:rPr>
        <w:tab/>
        <w:t>plateau</w:t>
      </w:r>
    </w:p>
    <w:p w14:paraId="032EB1F2" w14:textId="77777777" w:rsidR="002B4BDA" w:rsidRDefault="002B4BDA">
      <w:pPr>
        <w:pStyle w:val="berschrift1"/>
      </w:pPr>
      <w:r>
        <w:rPr>
          <w:rStyle w:val="berschrift1"/>
        </w:rPr>
        <w:t>Particularité</w:t>
      </w:r>
    </w:p>
    <w:p w14:paraId="316D4571" w14:textId="77777777" w:rsidR="002B4BDA" w:rsidRDefault="002B4BDA">
      <w:pPr>
        <w:suppressAutoHyphens/>
        <w:ind w:right="454"/>
        <w:rPr>
          <w:rFonts w:ascii="Arial" w:hAnsi="Arial"/>
        </w:rPr>
      </w:pPr>
    </w:p>
    <w:p w14:paraId="480DC031" w14:textId="77777777" w:rsidR="002B4BDA" w:rsidRDefault="002B4BDA">
      <w:pPr>
        <w:numPr>
          <w:ilvl w:val="0"/>
          <w:numId w:val="1"/>
        </w:numPr>
        <w:suppressAutoHyphens/>
        <w:ind w:right="454"/>
        <w:rPr>
          <w:rFonts w:ascii="Arial" w:hAnsi="Arial"/>
        </w:rPr>
      </w:pPr>
      <w:r>
        <w:rPr>
          <w:rStyle w:val="Standard"/>
          <w:rFonts w:ascii="Arial" w:hAnsi="Arial"/>
        </w:rPr>
        <w:t>Grands rayons de coin (de paroi latérale à paroi latérale)</w:t>
      </w:r>
    </w:p>
    <w:p w14:paraId="5292F4DC" w14:textId="77777777" w:rsidR="002B4BDA" w:rsidRDefault="002B4BDA">
      <w:pPr>
        <w:numPr>
          <w:ilvl w:val="0"/>
          <w:numId w:val="1"/>
        </w:numPr>
        <w:suppressAutoHyphens/>
        <w:ind w:right="454"/>
        <w:rPr>
          <w:rFonts w:ascii="Arial" w:hAnsi="Arial"/>
        </w:rPr>
      </w:pPr>
      <w:r>
        <w:rPr>
          <w:rStyle w:val="Standard"/>
          <w:rFonts w:ascii="Arial" w:hAnsi="Arial"/>
        </w:rPr>
        <w:t>Rayons de fond agrandis (du fond aux parois latérales)</w:t>
      </w:r>
    </w:p>
    <w:p w14:paraId="6AC88CB0" w14:textId="77777777" w:rsidR="002B4BDA" w:rsidRDefault="002B4BDA">
      <w:pPr>
        <w:numPr>
          <w:ilvl w:val="0"/>
          <w:numId w:val="1"/>
        </w:numPr>
        <w:suppressAutoHyphens/>
        <w:ind w:right="454"/>
        <w:rPr>
          <w:rFonts w:ascii="Arial" w:hAnsi="Arial"/>
        </w:rPr>
      </w:pPr>
      <w:r>
        <w:rPr>
          <w:rStyle w:val="Standard"/>
          <w:rFonts w:ascii="Arial" w:hAnsi="Arial"/>
        </w:rPr>
        <w:t xml:space="preserve">Bord du bac avec coins fonctionnels </w:t>
      </w:r>
    </w:p>
    <w:p w14:paraId="2ACA23F1" w14:textId="77777777" w:rsidR="002B4BDA" w:rsidRDefault="002B4BDA">
      <w:pPr>
        <w:numPr>
          <w:ilvl w:val="0"/>
          <w:numId w:val="1"/>
        </w:numPr>
        <w:suppressAutoHyphens/>
        <w:ind w:right="454"/>
        <w:rPr>
          <w:rFonts w:ascii="Arial" w:hAnsi="Arial"/>
        </w:rPr>
      </w:pPr>
      <w:r>
        <w:rPr>
          <w:rStyle w:val="Standard"/>
          <w:rFonts w:ascii="Arial" w:hAnsi="Arial"/>
        </w:rPr>
        <w:t>Fond perforé</w:t>
      </w:r>
    </w:p>
    <w:p w14:paraId="27D18C86" w14:textId="77777777" w:rsidR="002B4BDA" w:rsidRDefault="002B4BDA">
      <w:pPr>
        <w:suppressAutoHyphens/>
        <w:rPr>
          <w:rFonts w:ascii="Arial" w:hAnsi="Arial"/>
        </w:rPr>
      </w:pPr>
    </w:p>
    <w:p w14:paraId="2D08BE75" w14:textId="77777777" w:rsidR="002B4BDA" w:rsidRDefault="002B4BDA">
      <w:pPr>
        <w:suppressAutoHyphens/>
        <w:rPr>
          <w:rFonts w:ascii="Arial" w:hAnsi="Arial"/>
        </w:rPr>
      </w:pPr>
    </w:p>
    <w:p w14:paraId="437F56CF" w14:textId="77777777" w:rsidR="002B4BDA" w:rsidRDefault="002B4BDA">
      <w:pPr>
        <w:suppressAutoHyphens/>
        <w:rPr>
          <w:rFonts w:ascii="Arial" w:hAnsi="Arial"/>
          <w:b/>
        </w:rPr>
      </w:pPr>
      <w:r>
        <w:rPr>
          <w:rStyle w:val="Standard"/>
          <w:rFonts w:ascii="Arial" w:hAnsi="Arial"/>
          <w:b/>
        </w:rPr>
        <w:t>Marque:</w:t>
      </w:r>
    </w:p>
    <w:p w14:paraId="073227E8" w14:textId="77777777" w:rsidR="002B4BDA" w:rsidRDefault="002B4BDA">
      <w:pPr>
        <w:suppressAutoHyphens/>
        <w:rPr>
          <w:rFonts w:ascii="Arial" w:hAnsi="Arial"/>
          <w:b/>
        </w:rPr>
      </w:pPr>
    </w:p>
    <w:p w14:paraId="2A31A78E" w14:textId="77777777" w:rsidR="002B4BDA" w:rsidRDefault="002B4BDA">
      <w:pPr>
        <w:tabs>
          <w:tab w:val="left" w:pos="2268"/>
        </w:tabs>
        <w:suppressAutoHyphens/>
        <w:rPr>
          <w:rFonts w:ascii="Arial" w:hAnsi="Arial"/>
        </w:rPr>
      </w:pPr>
      <w:r>
        <w:rPr>
          <w:rStyle w:val="Standard"/>
          <w:rFonts w:ascii="Arial" w:hAnsi="Arial"/>
        </w:rPr>
        <w:t>Fabricant:</w:t>
      </w:r>
      <w:r>
        <w:rPr>
          <w:rStyle w:val="Standard"/>
          <w:rFonts w:ascii="Arial" w:hAnsi="Arial"/>
        </w:rPr>
        <w:tab/>
      </w:r>
      <w:r w:rsidR="00495EC3" w:rsidRPr="00495EC3">
        <w:rPr>
          <w:rFonts w:ascii="Arial" w:hAnsi="Arial"/>
        </w:rPr>
        <w:t>B.PRO</w:t>
      </w:r>
    </w:p>
    <w:p w14:paraId="4DF5B5DF" w14:textId="77777777" w:rsidR="002B4BDA" w:rsidRDefault="002B4BDA">
      <w:pPr>
        <w:tabs>
          <w:tab w:val="left" w:pos="2268"/>
        </w:tabs>
        <w:suppressAutoHyphens/>
        <w:rPr>
          <w:rFonts w:ascii="Arial" w:hAnsi="Arial"/>
        </w:rPr>
      </w:pPr>
      <w:r>
        <w:rPr>
          <w:rStyle w:val="Standard"/>
          <w:rFonts w:ascii="Arial" w:hAnsi="Arial"/>
        </w:rPr>
        <w:t>Type:</w:t>
      </w:r>
      <w:r>
        <w:rPr>
          <w:rStyle w:val="Standard"/>
          <w:rFonts w:ascii="Arial" w:hAnsi="Arial"/>
        </w:rPr>
        <w:tab/>
        <w:t>GN-P 2/1-20</w:t>
      </w:r>
    </w:p>
    <w:p w14:paraId="664F0A32" w14:textId="77777777" w:rsidR="002B4BDA" w:rsidRDefault="002B4BDA">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1 565 993</w:t>
      </w:r>
    </w:p>
    <w:sectPr w:rsidR="002B4BD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DC95" w14:textId="77777777" w:rsidR="008A1307" w:rsidRDefault="008A1307">
      <w:pPr>
        <w:spacing w:line="20" w:lineRule="exact"/>
      </w:pPr>
    </w:p>
  </w:endnote>
  <w:endnote w:type="continuationSeparator" w:id="0">
    <w:p w14:paraId="6B2C67E5" w14:textId="77777777" w:rsidR="008A1307" w:rsidRDefault="008A1307">
      <w:r>
        <w:rPr>
          <w:rStyle w:val="Standard"/>
        </w:rPr>
        <w:t xml:space="preserve"> </w:t>
      </w:r>
    </w:p>
  </w:endnote>
  <w:endnote w:type="continuationNotice" w:id="1">
    <w:p w14:paraId="48797D98" w14:textId="77777777" w:rsidR="008A1307" w:rsidRDefault="008A130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1FED" w14:textId="77777777" w:rsidR="002B4BDA" w:rsidRDefault="002B4BDA">
    <w:pPr>
      <w:pStyle w:val="Fuzeile"/>
      <w:rPr>
        <w:rFonts w:ascii="Arial" w:hAnsi="Arial"/>
        <w:sz w:val="16"/>
      </w:rPr>
    </w:pPr>
    <w:r>
      <w:rPr>
        <w:rStyle w:val="Fuzeile"/>
        <w:rFonts w:ascii="Arial" w:hAnsi="Arial"/>
        <w:sz w:val="16"/>
      </w:rPr>
      <w:t>Texte de cahier de charges GN-P 2/1-20/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065F" w14:textId="77777777" w:rsidR="008A1307" w:rsidRDefault="008A1307">
      <w:r>
        <w:separator/>
      </w:r>
    </w:p>
  </w:footnote>
  <w:footnote w:type="continuationSeparator" w:id="0">
    <w:p w14:paraId="5C42D49E" w14:textId="77777777" w:rsidR="008A1307" w:rsidRDefault="008A1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42D"/>
    <w:rsid w:val="00140080"/>
    <w:rsid w:val="002B4BDA"/>
    <w:rsid w:val="00421686"/>
    <w:rsid w:val="00495EC3"/>
    <w:rsid w:val="004C28B6"/>
    <w:rsid w:val="0065569A"/>
    <w:rsid w:val="008A13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FEB95C"/>
  <w15:chartTrackingRefBased/>
  <w15:docId w15:val="{66FAC3FD-DF8C-4E6F-84E0-D554CA17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212</Words>
  <Characters>1338</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2005-08-02T13:23:00Z</cp:lastPrinted>
  <dcterms:created xsi:type="dcterms:W3CDTF">2021-09-25T20:15:00Z</dcterms:created>
  <dcterms:modified xsi:type="dcterms:W3CDTF">2021-09-25T20:15:00Z</dcterms:modified>
</cp:coreProperties>
</file>